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ÖN BİLGİLENDİRME FORMU</w:t>
      </w:r>
    </w:p>
    <w:p>
      <w:r>
        <w:t>Bu form, 6502 sayılı Tüketicinin Korunması Hakkında Kanun ve Mesafeli Sözleşmeler Yönetmeliği kapsamında hazırlanmıştır.</w:t>
      </w:r>
    </w:p>
    <w:p>
      <w:pPr>
        <w:pStyle w:val="Heading2"/>
      </w:pPr>
      <w:r>
        <w:t>1. Satıcı Bilgileri</w:t>
      </w:r>
    </w:p>
    <w:p>
      <w:r>
        <w:rPr>
          <w:sz w:val="22"/>
        </w:rPr>
        <w:t>Ticari Unvan: Cihan Yavuz</w:t>
        <w:br/>
        <w:t>Marka: Luwit</w:t>
        <w:br/>
        <w:t>Vergi Dairesi: Halkalı</w:t>
        <w:br/>
        <w:t>Vergi No: 9410278097</w:t>
        <w:br/>
        <w:t>MERSİS No: Bulunmamaktadır.</w:t>
        <w:br/>
        <w:t>Adres: İkitelli OSB Mah. İmsan B Blok No:11 Küçükçekmece / İstanbul</w:t>
        <w:br/>
        <w:t>Telefon: 0532 317 24 07</w:t>
        <w:br/>
        <w:t>E-posta: info@luwit.com</w:t>
        <w:br/>
        <w:t>Web: www.luwit.com</w:t>
      </w:r>
    </w:p>
    <w:p>
      <w:pPr>
        <w:pStyle w:val="Heading2"/>
      </w:pPr>
      <w:r>
        <w:t>2. Ürün Bilgileri</w:t>
      </w:r>
    </w:p>
    <w:p>
      <w:r>
        <w:rPr>
          <w:sz w:val="22"/>
        </w:rPr>
        <w:t>Satın alınan ürünün adı, modeli, adedi, temel nitelikleri, satış fiyatı, varsa kargo ücreti ve toplam bedel sipariş özetinde yer almaktadır. Bu form HeatSlicer ve gelecekte satışa sunulacak diğer ürünler için de geçerlidir.</w:t>
      </w:r>
    </w:p>
    <w:p>
      <w:pPr>
        <w:pStyle w:val="Heading2"/>
      </w:pPr>
      <w:r>
        <w:t>3. Ödeme ve Teslimat</w:t>
      </w:r>
    </w:p>
    <w:p>
      <w:r>
        <w:rPr>
          <w:sz w:val="22"/>
        </w:rPr>
        <w:t>Ödeme, internet sitesinde sunulan yöntemlerden biri ile gerçekleştirilir. Siparişler ödeme onayından sonra 2-5 iş günü içerisinde Anlaşmalı Kargo Firmasına teslim edilir.</w:t>
      </w:r>
    </w:p>
    <w:p>
      <w:pPr>
        <w:pStyle w:val="Heading2"/>
      </w:pPr>
      <w:r>
        <w:t>4. Cayma Hakkı</w:t>
      </w:r>
    </w:p>
    <w:p>
      <w:r>
        <w:rPr>
          <w:sz w:val="22"/>
        </w:rPr>
        <w:t>Tüketici, ürünü teslim aldığı tarihten itibaren 14 gün içinde herhangi bir gerekçe göstermeksizin cayma hakkını kullanabilir. Cayma hakkının kullanımı ve istisnaları Mesafeli Satış Sözleşmesi ile yürürlükteki mevzuata tabidir.</w:t>
      </w:r>
    </w:p>
    <w:p>
      <w:pPr>
        <w:pStyle w:val="Heading2"/>
      </w:pPr>
      <w:r>
        <w:t>5. İade Süreci</w:t>
      </w:r>
    </w:p>
    <w:p>
      <w:r>
        <w:rPr>
          <w:sz w:val="22"/>
        </w:rPr>
        <w:t>İade talebi satıcıya e-posta veya diğer kalıcı veri saklayıcısı yoluyla iletilebilir. İade şartlarını sağlayan ürünlerin bedeli yasal süre içinde kullanılan ödeme yöntemine uygun olarak iade edilir.</w:t>
      </w:r>
    </w:p>
    <w:p>
      <w:pPr>
        <w:pStyle w:val="Heading2"/>
      </w:pPr>
      <w:r>
        <w:t>6. Uyuşmazlık</w:t>
      </w:r>
    </w:p>
    <w:p>
      <w:r>
        <w:rPr>
          <w:sz w:val="22"/>
        </w:rPr>
        <w:t>Uyuşmazlıklarda, tüketicinin yerleşim yerindeki veya işlemin yapıldığı yerdeki görevli Tüketici Hakem Heyeti ve Tüketici Mahkemeleri yetkilidir.</w:t>
      </w:r>
    </w:p>
    <w:p>
      <w:pPr>
        <w:pStyle w:val="Heading2"/>
      </w:pPr>
      <w:r>
        <w:t>7. Onay</w:t>
      </w:r>
    </w:p>
    <w:p>
      <w:r>
        <w:rPr>
          <w:sz w:val="22"/>
        </w:rPr>
        <w:t>Alıcı, siparişini tamamlamadan önce bu Ön Bilgilendirme Formu'nu okuyup anladığını ve elektronik ortamda kabul ettiğini beyan eder.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